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690DB0" w14:textId="48A80931" w:rsidR="00D83DE9" w:rsidRDefault="00E03D12" w:rsidP="00AE7751">
      <w:pPr>
        <w:spacing w:after="0" w:line="240" w:lineRule="auto"/>
        <w:ind w:right="-329"/>
        <w:jc w:val="both"/>
        <w:rPr>
          <w:rFonts w:ascii="Palatino" w:eastAsia="Palatino" w:hAnsi="Palatino" w:cs="Palatino"/>
        </w:rPr>
      </w:pPr>
      <w:r>
        <w:rPr>
          <w:rFonts w:ascii="Palatino" w:eastAsia="Palatino" w:hAnsi="Palatino" w:cs="Palatino"/>
        </w:rPr>
        <w:t xml:space="preserve">Carta </w:t>
      </w:r>
      <w:r w:rsidR="008278B6">
        <w:rPr>
          <w:rFonts w:ascii="Palatino" w:eastAsia="Palatino" w:hAnsi="Palatino" w:cs="Palatino"/>
        </w:rPr>
        <w:t>003</w:t>
      </w:r>
      <w:r>
        <w:rPr>
          <w:rFonts w:ascii="Palatino" w:eastAsia="Palatino" w:hAnsi="Palatino" w:cs="Palatino"/>
        </w:rPr>
        <w:t>/20</w:t>
      </w:r>
      <w:r w:rsidR="00AE7751">
        <w:rPr>
          <w:rFonts w:ascii="Palatino" w:eastAsia="Palatino" w:hAnsi="Palatino" w:cs="Palatino"/>
        </w:rPr>
        <w:t>21</w:t>
      </w:r>
      <w:r>
        <w:rPr>
          <w:rFonts w:ascii="Palatino" w:eastAsia="Palatino" w:hAnsi="Palatino" w:cs="Palatino"/>
        </w:rPr>
        <w:t>-UnaReg</w:t>
      </w:r>
    </w:p>
    <w:p w14:paraId="713F165D" w14:textId="031609FE" w:rsidR="00D83DE9" w:rsidRDefault="00E03D12" w:rsidP="00AE7751">
      <w:pPr>
        <w:spacing w:after="0" w:line="240" w:lineRule="auto"/>
        <w:ind w:right="-329"/>
        <w:jc w:val="right"/>
        <w:rPr>
          <w:rFonts w:ascii="Palatino" w:eastAsia="Palatino" w:hAnsi="Palatino" w:cs="Palatino"/>
        </w:rPr>
      </w:pPr>
      <w:r>
        <w:rPr>
          <w:rFonts w:ascii="Palatino" w:eastAsia="Palatino" w:hAnsi="Palatino" w:cs="Palatino"/>
        </w:rPr>
        <w:t>Brasília, 2</w:t>
      </w:r>
      <w:r w:rsidR="00AE7751">
        <w:rPr>
          <w:rFonts w:ascii="Palatino" w:eastAsia="Palatino" w:hAnsi="Palatino" w:cs="Palatino"/>
        </w:rPr>
        <w:t>0</w:t>
      </w:r>
      <w:r>
        <w:rPr>
          <w:rFonts w:ascii="Palatino" w:eastAsia="Palatino" w:hAnsi="Palatino" w:cs="Palatino"/>
        </w:rPr>
        <w:t xml:space="preserve"> de </w:t>
      </w:r>
      <w:r w:rsidR="00AE7751">
        <w:rPr>
          <w:rFonts w:ascii="Palatino" w:eastAsia="Palatino" w:hAnsi="Palatino" w:cs="Palatino"/>
        </w:rPr>
        <w:t>setembro</w:t>
      </w:r>
      <w:r>
        <w:rPr>
          <w:rFonts w:ascii="Palatino" w:eastAsia="Palatino" w:hAnsi="Palatino" w:cs="Palatino"/>
        </w:rPr>
        <w:t xml:space="preserve"> de 20</w:t>
      </w:r>
      <w:r w:rsidR="00AE7751">
        <w:rPr>
          <w:rFonts w:ascii="Palatino" w:eastAsia="Palatino" w:hAnsi="Palatino" w:cs="Palatino"/>
        </w:rPr>
        <w:t>20</w:t>
      </w:r>
    </w:p>
    <w:p w14:paraId="1C49F0B0" w14:textId="77777777" w:rsidR="00D83DE9" w:rsidRDefault="00D83DE9" w:rsidP="00AE7751">
      <w:pPr>
        <w:spacing w:after="0" w:line="240" w:lineRule="auto"/>
        <w:ind w:right="-329"/>
        <w:jc w:val="both"/>
        <w:rPr>
          <w:rFonts w:ascii="Palatino" w:eastAsia="Palatino" w:hAnsi="Palatino" w:cs="Palatino"/>
        </w:rPr>
      </w:pPr>
    </w:p>
    <w:p w14:paraId="5BA35000" w14:textId="15696F5E" w:rsidR="00D83DE9" w:rsidRDefault="00FC3453" w:rsidP="00AE7751">
      <w:pPr>
        <w:spacing w:after="0" w:line="240" w:lineRule="auto"/>
        <w:ind w:right="-329"/>
        <w:jc w:val="both"/>
      </w:pPr>
      <w:r>
        <w:rPr>
          <w:rFonts w:ascii="Palatino" w:eastAsia="Palatino" w:hAnsi="Palatino" w:cs="Palatino"/>
        </w:rPr>
        <w:t>Ao Excelentíssimo Senhor</w:t>
      </w:r>
    </w:p>
    <w:p w14:paraId="2340F574" w14:textId="644D0180" w:rsidR="00D83DE9" w:rsidRDefault="00FC3453" w:rsidP="00AE7751">
      <w:pPr>
        <w:spacing w:after="0" w:line="240" w:lineRule="auto"/>
        <w:ind w:right="-329"/>
        <w:jc w:val="both"/>
        <w:rPr>
          <w:rFonts w:ascii="Palatino" w:eastAsia="Palatino" w:hAnsi="Palatino" w:cs="Palatino"/>
          <w:b/>
        </w:rPr>
      </w:pPr>
      <w:r>
        <w:rPr>
          <w:rFonts w:ascii="Palatino" w:eastAsia="Palatino" w:hAnsi="Palatino" w:cs="Palatino"/>
          <w:b/>
        </w:rPr>
        <w:t>LINCOLN PORTELA</w:t>
      </w:r>
    </w:p>
    <w:p w14:paraId="0E153ABC" w14:textId="2D7616A0" w:rsidR="00D83DE9" w:rsidRDefault="00FC3453" w:rsidP="00AE7751">
      <w:pPr>
        <w:spacing w:after="0" w:line="240" w:lineRule="auto"/>
        <w:ind w:right="-329"/>
        <w:jc w:val="both"/>
        <w:rPr>
          <w:rFonts w:ascii="Palatino" w:eastAsia="Palatino" w:hAnsi="Palatino" w:cs="Palatino"/>
        </w:rPr>
      </w:pPr>
      <w:r>
        <w:rPr>
          <w:rFonts w:ascii="Palatino" w:eastAsia="Palatino" w:hAnsi="Palatino" w:cs="Palatino"/>
        </w:rPr>
        <w:t>Deputado Federal</w:t>
      </w:r>
    </w:p>
    <w:p w14:paraId="5F7AFEBC" w14:textId="4CD1153C" w:rsidR="00D83DE9" w:rsidRDefault="00FC3453" w:rsidP="00AE7751">
      <w:pPr>
        <w:spacing w:after="0" w:line="240" w:lineRule="auto"/>
        <w:ind w:right="-329"/>
        <w:jc w:val="both"/>
        <w:rPr>
          <w:rFonts w:ascii="Palatino" w:eastAsia="Palatino" w:hAnsi="Palatino" w:cs="Palatino"/>
        </w:rPr>
      </w:pPr>
      <w:r w:rsidRPr="00FC3453">
        <w:rPr>
          <w:rFonts w:ascii="Palatino" w:eastAsia="Palatino" w:hAnsi="Palatino" w:cs="Palatino"/>
        </w:rPr>
        <w:t>Gabinete 615 - Anexo IV - Câmara dos Deputados</w:t>
      </w:r>
    </w:p>
    <w:p w14:paraId="52625B86" w14:textId="77777777" w:rsidR="00FC3453" w:rsidRDefault="00FC3453" w:rsidP="00AE7751">
      <w:pPr>
        <w:spacing w:after="0" w:line="240" w:lineRule="auto"/>
        <w:ind w:right="-329"/>
        <w:jc w:val="both"/>
        <w:rPr>
          <w:rFonts w:ascii="Palatino" w:eastAsia="Palatino" w:hAnsi="Palatino" w:cs="Palatino"/>
        </w:rPr>
      </w:pPr>
      <w:r w:rsidRPr="00FC3453">
        <w:rPr>
          <w:rFonts w:ascii="Palatino" w:eastAsia="Palatino" w:hAnsi="Palatino" w:cs="Palatino"/>
        </w:rPr>
        <w:t>Palácio do Congresso Nacional - Praça dos Três Poderes</w:t>
      </w:r>
    </w:p>
    <w:p w14:paraId="0C8B543B" w14:textId="09B9BF59" w:rsidR="00D83DE9" w:rsidRDefault="00E03D12" w:rsidP="00AE7751">
      <w:pPr>
        <w:spacing w:after="0" w:line="240" w:lineRule="auto"/>
        <w:ind w:right="-329"/>
        <w:jc w:val="both"/>
        <w:rPr>
          <w:rFonts w:ascii="Palatino" w:eastAsia="Palatino" w:hAnsi="Palatino" w:cs="Palatino"/>
        </w:rPr>
      </w:pPr>
      <w:r>
        <w:rPr>
          <w:rFonts w:ascii="Palatino" w:eastAsia="Palatino" w:hAnsi="Palatino" w:cs="Palatino"/>
        </w:rPr>
        <w:t xml:space="preserve">CEP </w:t>
      </w:r>
      <w:r w:rsidR="00FC3453">
        <w:rPr>
          <w:rFonts w:ascii="Palatino" w:eastAsia="Palatino" w:hAnsi="Palatino" w:cs="Palatino"/>
        </w:rPr>
        <w:t>70160</w:t>
      </w:r>
      <w:r>
        <w:rPr>
          <w:rFonts w:ascii="Palatino" w:eastAsia="Palatino" w:hAnsi="Palatino" w:cs="Palatino"/>
        </w:rPr>
        <w:t>-</w:t>
      </w:r>
      <w:r w:rsidR="00FC3453">
        <w:rPr>
          <w:rFonts w:ascii="Palatino" w:eastAsia="Palatino" w:hAnsi="Palatino" w:cs="Palatino"/>
        </w:rPr>
        <w:t>9</w:t>
      </w:r>
      <w:r>
        <w:rPr>
          <w:rFonts w:ascii="Palatino" w:eastAsia="Palatino" w:hAnsi="Palatino" w:cs="Palatino"/>
        </w:rPr>
        <w:t xml:space="preserve">00 - </w:t>
      </w:r>
      <w:r w:rsidR="00FC3453">
        <w:rPr>
          <w:rFonts w:ascii="Palatino" w:eastAsia="Palatino" w:hAnsi="Palatino" w:cs="Palatino"/>
        </w:rPr>
        <w:t>Brasília</w:t>
      </w:r>
      <w:r>
        <w:rPr>
          <w:rFonts w:ascii="Palatino" w:eastAsia="Palatino" w:hAnsi="Palatino" w:cs="Palatino"/>
        </w:rPr>
        <w:t>/</w:t>
      </w:r>
      <w:r w:rsidR="00FC3453">
        <w:rPr>
          <w:rFonts w:ascii="Palatino" w:eastAsia="Palatino" w:hAnsi="Palatino" w:cs="Palatino"/>
        </w:rPr>
        <w:t>DF</w:t>
      </w:r>
    </w:p>
    <w:p w14:paraId="582B1E6B" w14:textId="77777777" w:rsidR="00D83DE9" w:rsidRDefault="00D83DE9" w:rsidP="00AE7751">
      <w:pPr>
        <w:spacing w:after="0" w:line="240" w:lineRule="auto"/>
        <w:ind w:right="-329"/>
        <w:jc w:val="both"/>
        <w:rPr>
          <w:rFonts w:ascii="Palatino" w:eastAsia="Palatino" w:hAnsi="Palatino" w:cs="Palatino"/>
        </w:rPr>
      </w:pPr>
    </w:p>
    <w:p w14:paraId="093AD78D" w14:textId="1530C1F2" w:rsidR="00D83DE9" w:rsidRDefault="00E03D12" w:rsidP="00AE7751">
      <w:pPr>
        <w:spacing w:after="0" w:line="240" w:lineRule="auto"/>
        <w:ind w:right="-329"/>
        <w:jc w:val="both"/>
        <w:rPr>
          <w:rFonts w:ascii="Palatino" w:eastAsia="Palatino" w:hAnsi="Palatino" w:cs="Palatino"/>
        </w:rPr>
      </w:pPr>
      <w:r>
        <w:rPr>
          <w:rFonts w:ascii="Palatino" w:eastAsia="Palatino" w:hAnsi="Palatino" w:cs="Palatino"/>
        </w:rPr>
        <w:t>Assunto:</w:t>
      </w:r>
      <w:r>
        <w:rPr>
          <w:rFonts w:ascii="Palatino" w:eastAsia="Palatino" w:hAnsi="Palatino" w:cs="Palatino"/>
        </w:rPr>
        <w:tab/>
      </w:r>
      <w:r w:rsidR="00FC3453">
        <w:rPr>
          <w:rFonts w:ascii="Palatino" w:eastAsia="Palatino" w:hAnsi="Palatino" w:cs="Palatino"/>
        </w:rPr>
        <w:t>PEC 32/2020</w:t>
      </w:r>
    </w:p>
    <w:p w14:paraId="316BE62F" w14:textId="77777777" w:rsidR="00D83DE9" w:rsidRDefault="00E03D12" w:rsidP="00AE7751">
      <w:pPr>
        <w:spacing w:after="0" w:line="240" w:lineRule="auto"/>
        <w:ind w:right="-329"/>
        <w:jc w:val="both"/>
        <w:rPr>
          <w:rFonts w:ascii="Palatino" w:eastAsia="Palatino" w:hAnsi="Palatino" w:cs="Palatino"/>
        </w:rPr>
      </w:pPr>
      <w:r>
        <w:rPr>
          <w:rFonts w:ascii="Palatino" w:eastAsia="Palatino" w:hAnsi="Palatino" w:cs="Palatino"/>
        </w:rPr>
        <w:tab/>
      </w:r>
    </w:p>
    <w:p w14:paraId="136A6820" w14:textId="28C357FD" w:rsidR="00D83DE9" w:rsidRDefault="00E03D12" w:rsidP="00AE7751">
      <w:pPr>
        <w:spacing w:after="0" w:line="240" w:lineRule="auto"/>
        <w:ind w:right="-329"/>
        <w:jc w:val="both"/>
        <w:rPr>
          <w:rFonts w:ascii="Palatino" w:eastAsia="Palatino" w:hAnsi="Palatino" w:cs="Palatino"/>
        </w:rPr>
      </w:pPr>
      <w:r>
        <w:rPr>
          <w:rFonts w:ascii="Palatino" w:eastAsia="Palatino" w:hAnsi="Palatino" w:cs="Palatino"/>
        </w:rPr>
        <w:t xml:space="preserve">Senhor </w:t>
      </w:r>
      <w:r w:rsidR="00FC3453">
        <w:rPr>
          <w:rFonts w:ascii="Palatino" w:eastAsia="Palatino" w:hAnsi="Palatino" w:cs="Palatino"/>
        </w:rPr>
        <w:t>Deputado</w:t>
      </w:r>
      <w:r>
        <w:rPr>
          <w:rFonts w:ascii="Palatino" w:eastAsia="Palatino" w:hAnsi="Palatino" w:cs="Palatino"/>
        </w:rPr>
        <w:t>,</w:t>
      </w:r>
    </w:p>
    <w:p w14:paraId="74295F4D" w14:textId="77777777" w:rsidR="00D83DE9" w:rsidRDefault="00D83DE9" w:rsidP="00AE7751">
      <w:pPr>
        <w:spacing w:after="0" w:line="240" w:lineRule="auto"/>
        <w:ind w:right="-329"/>
        <w:jc w:val="both"/>
        <w:rPr>
          <w:rFonts w:ascii="Palatino" w:eastAsia="Palatino" w:hAnsi="Palatino" w:cs="Palatino"/>
        </w:rPr>
      </w:pPr>
    </w:p>
    <w:p w14:paraId="6FD044B4" w14:textId="77777777" w:rsidR="00FC3453" w:rsidRDefault="00E03D12" w:rsidP="00AE7751">
      <w:pPr>
        <w:spacing w:after="0" w:line="240" w:lineRule="auto"/>
        <w:ind w:right="-329"/>
        <w:jc w:val="both"/>
        <w:rPr>
          <w:rFonts w:ascii="Palatino" w:eastAsia="Palatino" w:hAnsi="Palatino" w:cs="Palatino"/>
        </w:rPr>
      </w:pPr>
      <w:r>
        <w:rPr>
          <w:rFonts w:ascii="Palatino" w:eastAsia="Palatino" w:hAnsi="Palatino" w:cs="Palatino"/>
        </w:rPr>
        <w:t>A UnaReg, União Nacional dos Servidores de Carreira das Agências Reguladoras Federais, entidade que atua pela defesa dos interesses dos servidores de carreira das Agências Reguladoras Federais</w:t>
      </w:r>
      <w:r w:rsidR="00FC3453">
        <w:rPr>
          <w:rFonts w:ascii="Palatino" w:eastAsia="Palatino" w:hAnsi="Palatino" w:cs="Palatino"/>
        </w:rPr>
        <w:t>, solicita vosso apoio no sentido de envidar esforços para que seja preservada na tramitação da PEC 32/2020 a natureza de atividade típica de Estado das carreiras das Agências Reguladoras Federais.</w:t>
      </w:r>
    </w:p>
    <w:p w14:paraId="2D3F15A9" w14:textId="77777777" w:rsidR="00FC3453" w:rsidRDefault="00FC3453" w:rsidP="00AE7751">
      <w:pPr>
        <w:spacing w:after="0" w:line="240" w:lineRule="auto"/>
        <w:ind w:right="-329"/>
        <w:jc w:val="both"/>
        <w:rPr>
          <w:rFonts w:ascii="Palatino" w:eastAsia="Palatino" w:hAnsi="Palatino" w:cs="Palatino"/>
        </w:rPr>
      </w:pPr>
    </w:p>
    <w:p w14:paraId="6AE39449" w14:textId="7CA7B383" w:rsidR="00FC3453" w:rsidRDefault="00FC3453" w:rsidP="00AE7751">
      <w:pPr>
        <w:spacing w:after="0" w:line="240" w:lineRule="auto"/>
        <w:ind w:right="-329"/>
        <w:jc w:val="both"/>
        <w:rPr>
          <w:rFonts w:ascii="Palatino" w:eastAsia="Palatino" w:hAnsi="Palatino" w:cs="Palatino"/>
        </w:rPr>
      </w:pPr>
      <w:r>
        <w:rPr>
          <w:rFonts w:ascii="Palatino" w:eastAsia="Palatino" w:hAnsi="Palatino" w:cs="Palatino"/>
        </w:rPr>
        <w:t xml:space="preserve">Em substitutivo apresentado em 15/09/2021 pelo Relator da PEC à Comissão Especial instaurada, sob protocolo nº </w:t>
      </w:r>
      <w:r w:rsidRPr="00FC3453">
        <w:rPr>
          <w:rFonts w:ascii="Palatino" w:eastAsia="Palatino" w:hAnsi="Palatino" w:cs="Palatino"/>
        </w:rPr>
        <w:t>CD215584746800</w:t>
      </w:r>
      <w:r>
        <w:rPr>
          <w:rFonts w:ascii="Palatino" w:eastAsia="Palatino" w:hAnsi="Palatino" w:cs="Palatino"/>
        </w:rPr>
        <w:t>, foi incluído o inciso IX-C ao artigo 37 da Constituição Federal, segundo o qual:</w:t>
      </w:r>
    </w:p>
    <w:p w14:paraId="5B2F08D1" w14:textId="77777777" w:rsidR="00FC3453" w:rsidRDefault="00FC3453" w:rsidP="00AE7751">
      <w:pPr>
        <w:spacing w:after="0" w:line="240" w:lineRule="auto"/>
        <w:ind w:right="-329"/>
        <w:jc w:val="both"/>
        <w:rPr>
          <w:rFonts w:ascii="Palatino" w:eastAsia="Palatino" w:hAnsi="Palatino" w:cs="Palatino"/>
        </w:rPr>
      </w:pPr>
    </w:p>
    <w:p w14:paraId="55300C8D" w14:textId="17E55E24" w:rsidR="00FC3453" w:rsidRPr="00FC3453" w:rsidRDefault="00FC3453" w:rsidP="00AE7751">
      <w:pPr>
        <w:spacing w:after="0" w:line="240" w:lineRule="auto"/>
        <w:ind w:left="1134" w:right="-329"/>
        <w:jc w:val="both"/>
        <w:rPr>
          <w:rFonts w:ascii="Palatino" w:eastAsia="Palatino" w:hAnsi="Palatino" w:cs="Palatino"/>
          <w:i/>
          <w:iCs/>
          <w:sz w:val="20"/>
          <w:szCs w:val="20"/>
        </w:rPr>
      </w:pPr>
      <w:r w:rsidRPr="00FC3453">
        <w:rPr>
          <w:rFonts w:ascii="Palatino" w:eastAsia="Palatino" w:hAnsi="Palatino" w:cs="Palatino"/>
          <w:i/>
          <w:iCs/>
          <w:sz w:val="20"/>
          <w:szCs w:val="20"/>
        </w:rPr>
        <w:t>IX-C - não se aplicará o disposto no inciso IX-A a servidores cujas atribuições sejam complementares, acessórias, de suporte ou de apoio às atividades nele referidas;</w:t>
      </w:r>
    </w:p>
    <w:p w14:paraId="5141B25B" w14:textId="77777777" w:rsidR="00FC3453" w:rsidRDefault="00FC3453" w:rsidP="00AE7751">
      <w:pPr>
        <w:spacing w:after="0" w:line="240" w:lineRule="auto"/>
        <w:ind w:right="-329"/>
        <w:jc w:val="both"/>
        <w:rPr>
          <w:rFonts w:ascii="Palatino" w:eastAsia="Palatino" w:hAnsi="Palatino" w:cs="Palatino"/>
        </w:rPr>
      </w:pPr>
    </w:p>
    <w:p w14:paraId="7C85BF1D" w14:textId="2DA05029" w:rsidR="00FC3453" w:rsidRDefault="00FC3453" w:rsidP="00AE7751">
      <w:pPr>
        <w:spacing w:after="0" w:line="240" w:lineRule="auto"/>
        <w:ind w:right="-329"/>
        <w:jc w:val="both"/>
        <w:rPr>
          <w:rFonts w:ascii="Palatino" w:eastAsia="Palatino" w:hAnsi="Palatino" w:cs="Palatino"/>
        </w:rPr>
      </w:pPr>
      <w:r>
        <w:rPr>
          <w:rFonts w:ascii="Palatino" w:eastAsia="Palatino" w:hAnsi="Palatino" w:cs="Palatino"/>
        </w:rPr>
        <w:t>Conforme consta no portal da Câmara dos Deputados (</w:t>
      </w:r>
      <w:hyperlink r:id="rId6" w:history="1">
        <w:r w:rsidRPr="00074F1A">
          <w:rPr>
            <w:rStyle w:val="Hyperlink"/>
            <w:rFonts w:ascii="Palatino" w:eastAsia="Palatino" w:hAnsi="Palatino" w:cs="Palatino"/>
          </w:rPr>
          <w:t>https://www.camara.leg.br/propostas-legislativas/2262083</w:t>
        </w:r>
      </w:hyperlink>
      <w:r>
        <w:rPr>
          <w:rFonts w:ascii="Palatino" w:eastAsia="Palatino" w:hAnsi="Palatino" w:cs="Palatino"/>
        </w:rPr>
        <w:t xml:space="preserve">), houve a apresentação de novo substitutivo em 16/09/2021, sob protocolo nº </w:t>
      </w:r>
      <w:r w:rsidRPr="00FC3453">
        <w:rPr>
          <w:rFonts w:ascii="Palatino" w:eastAsia="Palatino" w:hAnsi="Palatino" w:cs="Palatino"/>
        </w:rPr>
        <w:t>CD219256061600</w:t>
      </w:r>
      <w:r>
        <w:rPr>
          <w:rFonts w:ascii="Palatino" w:eastAsia="Palatino" w:hAnsi="Palatino" w:cs="Palatino"/>
        </w:rPr>
        <w:t>, o qual retirou a previsão do inciso IX-C acima transcrito.</w:t>
      </w:r>
    </w:p>
    <w:p w14:paraId="7A2FF6FA" w14:textId="1D22DCF8" w:rsidR="00FC3453" w:rsidRDefault="00FC3453" w:rsidP="00AE7751">
      <w:pPr>
        <w:spacing w:after="0" w:line="240" w:lineRule="auto"/>
        <w:ind w:right="-329"/>
        <w:jc w:val="both"/>
        <w:rPr>
          <w:rFonts w:ascii="Palatino" w:eastAsia="Palatino" w:hAnsi="Palatino" w:cs="Palatino"/>
        </w:rPr>
      </w:pPr>
    </w:p>
    <w:p w14:paraId="3483E39E" w14:textId="3D057122" w:rsidR="00FC3453" w:rsidRDefault="00FC3453" w:rsidP="0087572C">
      <w:pPr>
        <w:keepNext w:val="0"/>
        <w:spacing w:after="0" w:line="240" w:lineRule="auto"/>
        <w:ind w:right="-329"/>
        <w:jc w:val="both"/>
        <w:rPr>
          <w:rFonts w:ascii="Palatino" w:eastAsia="Palatino" w:hAnsi="Palatino" w:cs="Palatino"/>
        </w:rPr>
      </w:pPr>
      <w:r>
        <w:rPr>
          <w:rFonts w:ascii="Palatino" w:eastAsia="Palatino" w:hAnsi="Palatino" w:cs="Palatino"/>
        </w:rPr>
        <w:t xml:space="preserve">Devemos esclarecer que a previsão havida no substitutivo de 15/09/2021 nos causou estranheza e mesmo temor. Isto porquanto hoje as atividades finalísticas de fiscalização das agências reguladoras federais são exercidas por técnicos em regulação, servidores de carreira que possuem as atribuições definidas na Lei nº 10.871/2004, a qual criou os cargos de Técnico em Regulação </w:t>
      </w:r>
      <w:r w:rsidR="008278B6">
        <w:rPr>
          <w:rFonts w:ascii="Palatino" w:eastAsia="Palatino" w:hAnsi="Palatino" w:cs="Palatino"/>
        </w:rPr>
        <w:t>p</w:t>
      </w:r>
      <w:r>
        <w:rPr>
          <w:rFonts w:ascii="Palatino" w:eastAsia="Palatino" w:hAnsi="Palatino" w:cs="Palatino"/>
        </w:rPr>
        <w:t xml:space="preserve">revistas nos incisos X </w:t>
      </w:r>
      <w:r w:rsidR="00993112">
        <w:rPr>
          <w:rFonts w:ascii="Palatino" w:eastAsia="Palatino" w:hAnsi="Palatino" w:cs="Palatino"/>
        </w:rPr>
        <w:t>a XVI e XX do artigo 1º da referida Lei, como “</w:t>
      </w:r>
      <w:r w:rsidR="00993112" w:rsidRPr="00993112">
        <w:rPr>
          <w:rFonts w:ascii="Palatino" w:eastAsia="Palatino" w:hAnsi="Palatino" w:cs="Palatino"/>
          <w:i/>
          <w:iCs/>
        </w:rPr>
        <w:t>atribuições voltadas ao suporte e ao apoio técnico especializado às atividades de regulação, inspeção, fiscalização […]</w:t>
      </w:r>
      <w:r w:rsidR="00993112">
        <w:rPr>
          <w:rFonts w:ascii="Palatino" w:eastAsia="Palatino" w:hAnsi="Palatino" w:cs="Palatino"/>
        </w:rPr>
        <w:t>”.</w:t>
      </w:r>
    </w:p>
    <w:p w14:paraId="14D1E8CA" w14:textId="77777777" w:rsidR="00EB5F71" w:rsidRDefault="00EB5F71" w:rsidP="0087572C">
      <w:pPr>
        <w:keepNext w:val="0"/>
        <w:spacing w:after="0" w:line="240" w:lineRule="auto"/>
        <w:ind w:right="-329"/>
        <w:jc w:val="both"/>
        <w:rPr>
          <w:rFonts w:ascii="Palatino" w:eastAsia="Palatino" w:hAnsi="Palatino" w:cs="Palatino"/>
        </w:rPr>
      </w:pPr>
    </w:p>
    <w:p w14:paraId="7EA166CE" w14:textId="77777777" w:rsidR="00EB5F71" w:rsidRPr="00EB5F71" w:rsidRDefault="00EB5F71" w:rsidP="00EB5F71">
      <w:pPr>
        <w:spacing w:after="0" w:line="240" w:lineRule="auto"/>
        <w:ind w:right="-329"/>
        <w:jc w:val="both"/>
        <w:rPr>
          <w:rFonts w:ascii="Palatino" w:eastAsia="Palatino" w:hAnsi="Palatino" w:cs="Palatino"/>
          <w:color w:val="000000" w:themeColor="text1"/>
        </w:rPr>
      </w:pPr>
      <w:r w:rsidRPr="00EB5F71">
        <w:rPr>
          <w:rFonts w:ascii="Palatino" w:eastAsia="Palatino" w:hAnsi="Palatino" w:cs="Palatino"/>
          <w:color w:val="000000" w:themeColor="text1"/>
        </w:rPr>
        <w:t>Adicionalmente, os cargos de Analista Administrativo e de Técnico Administrativo, cujas atribuições são desenvolvidas na área de Gestão das Agências Reguladoras foram criados para viabilizar o integral alcance “</w:t>
      </w:r>
      <w:r w:rsidRPr="00EB5F71">
        <w:rPr>
          <w:rFonts w:ascii="Palatino" w:eastAsia="Palatino" w:hAnsi="Palatino" w:cs="Palatino"/>
          <w:i/>
          <w:iCs/>
          <w:color w:val="000000" w:themeColor="text1"/>
        </w:rPr>
        <w:t>das competências constitucionais e legais a cargo das autarquias especiais denominadas Agências Reguladoras”</w:t>
      </w:r>
      <w:r w:rsidRPr="00EB5F71">
        <w:rPr>
          <w:rFonts w:ascii="Palatino" w:eastAsia="Palatino" w:hAnsi="Palatino" w:cs="Palatino"/>
          <w:color w:val="000000" w:themeColor="text1"/>
        </w:rPr>
        <w:t>, vide disposição nos incisos XVII e XVIII, do artigo 1º, da Lei nº 10.871, de 2004</w:t>
      </w:r>
      <w:r w:rsidRPr="00EB5F71">
        <w:rPr>
          <w:rFonts w:ascii="Palatino" w:eastAsia="Palatino" w:hAnsi="Palatino" w:cs="Palatino"/>
          <w:b/>
          <w:bCs/>
          <w:color w:val="000000" w:themeColor="text1"/>
        </w:rPr>
        <w:t xml:space="preserve">. </w:t>
      </w:r>
      <w:r w:rsidRPr="00EB5F71">
        <w:rPr>
          <w:rFonts w:ascii="Palatino" w:eastAsia="Palatino" w:hAnsi="Palatino" w:cs="Palatino"/>
          <w:color w:val="000000" w:themeColor="text1"/>
        </w:rPr>
        <w:t xml:space="preserve">Assim, as atribuições desenvolvidas pelos ocupantes dos referidos cargos da área de Gestão das Agências Reguladoras, denominadas de área-meio, são complementares e </w:t>
      </w:r>
      <w:r w:rsidRPr="00EB5F71">
        <w:rPr>
          <w:rFonts w:ascii="Palatino" w:eastAsia="Palatino" w:hAnsi="Palatino" w:cs="Palatino"/>
          <w:color w:val="000000" w:themeColor="text1"/>
        </w:rPr>
        <w:lastRenderedPageBreak/>
        <w:t>essenciais às atividades dos cargos definidos como “área-fim”, convergindo para o alcance das finalidades das Agências Reguladoras.</w:t>
      </w:r>
    </w:p>
    <w:p w14:paraId="10F1D849" w14:textId="77777777" w:rsidR="00EB5F71" w:rsidRPr="00EB5F71" w:rsidRDefault="00EB5F71" w:rsidP="00EB5F71">
      <w:pPr>
        <w:spacing w:after="0" w:line="240" w:lineRule="auto"/>
        <w:ind w:right="-329"/>
        <w:jc w:val="both"/>
        <w:rPr>
          <w:rFonts w:ascii="Palatino" w:eastAsia="Palatino" w:hAnsi="Palatino" w:cs="Palatino"/>
          <w:color w:val="000000" w:themeColor="text1"/>
        </w:rPr>
      </w:pPr>
    </w:p>
    <w:p w14:paraId="29032E48" w14:textId="77777777" w:rsidR="00EB5F71" w:rsidRPr="00EB5F71" w:rsidRDefault="00EB5F71" w:rsidP="00EB5F71">
      <w:pPr>
        <w:spacing w:after="0" w:line="240" w:lineRule="auto"/>
        <w:ind w:right="-329"/>
        <w:jc w:val="both"/>
        <w:rPr>
          <w:rFonts w:ascii="Palatino" w:eastAsia="Palatino" w:hAnsi="Palatino" w:cs="Palatino"/>
          <w:color w:val="000000" w:themeColor="text1"/>
        </w:rPr>
      </w:pPr>
      <w:r w:rsidRPr="00EB5F71">
        <w:rPr>
          <w:rFonts w:ascii="Palatino" w:eastAsia="Palatino" w:hAnsi="Palatino" w:cs="Palatino"/>
          <w:color w:val="000000" w:themeColor="text1"/>
        </w:rPr>
        <w:t>As atividades dos Analistas e Técnico Administrativo permeiam por todo o processo regulatório, seja para viabilizar a função fiscalizatória, com a gestão contratual de produtos e serviços indispensáveis ao regular funcionamento das Agências Reguladoras e das competências dos Especialistas e Técnicos em Regulação, seja no recolhimento e cobrança das taxas e multas aplicadas no âmbito ao se concluir a atividade fiscalizatória.</w:t>
      </w:r>
    </w:p>
    <w:p w14:paraId="3E6349E3" w14:textId="02165A3E" w:rsidR="00993112" w:rsidRDefault="00993112" w:rsidP="00AE7751">
      <w:pPr>
        <w:spacing w:after="0" w:line="240" w:lineRule="auto"/>
        <w:ind w:right="-329"/>
        <w:jc w:val="both"/>
        <w:rPr>
          <w:rFonts w:ascii="Palatino" w:eastAsia="Palatino" w:hAnsi="Palatino" w:cs="Palatino"/>
        </w:rPr>
      </w:pPr>
    </w:p>
    <w:p w14:paraId="2E90A8A8" w14:textId="2147BC76" w:rsidR="00993112" w:rsidRDefault="00993112" w:rsidP="00AE7751">
      <w:pPr>
        <w:spacing w:after="0" w:line="240" w:lineRule="auto"/>
        <w:ind w:right="-329"/>
        <w:jc w:val="both"/>
        <w:rPr>
          <w:rFonts w:ascii="Palatino" w:eastAsia="Palatino" w:hAnsi="Palatino" w:cs="Palatino"/>
        </w:rPr>
      </w:pPr>
      <w:r>
        <w:rPr>
          <w:rFonts w:ascii="Palatino" w:eastAsia="Palatino" w:hAnsi="Palatino" w:cs="Palatino"/>
        </w:rPr>
        <w:t xml:space="preserve">Em que pese a previsão legal sobre os cargos </w:t>
      </w:r>
      <w:r w:rsidR="00EB5F71">
        <w:rPr>
          <w:rFonts w:ascii="Palatino" w:eastAsia="Palatino" w:hAnsi="Palatino" w:cs="Palatino"/>
        </w:rPr>
        <w:t xml:space="preserve">de técnicos em Regulação </w:t>
      </w:r>
      <w:r>
        <w:rPr>
          <w:rFonts w:ascii="Palatino" w:eastAsia="Palatino" w:hAnsi="Palatino" w:cs="Palatino"/>
        </w:rPr>
        <w:t>serem de suporte e apoio técnico, fato é que a Lei 10.871/2004 não faz distinção entre tais atividades e as dos cargos de Especialistas no que se referem a serem, ambas, atividades típicas de Estado, tanto é que o artigo 3º da mesma Lei prevê:</w:t>
      </w:r>
    </w:p>
    <w:p w14:paraId="32766BB5" w14:textId="040ED8E6" w:rsidR="00993112" w:rsidRDefault="00993112" w:rsidP="00AE7751">
      <w:pPr>
        <w:spacing w:after="0" w:line="240" w:lineRule="auto"/>
        <w:ind w:right="-329"/>
        <w:jc w:val="both"/>
        <w:rPr>
          <w:rFonts w:ascii="Palatino" w:eastAsia="Palatino" w:hAnsi="Palatino" w:cs="Palatino"/>
        </w:rPr>
      </w:pPr>
    </w:p>
    <w:p w14:paraId="1D624A76" w14:textId="77777777" w:rsidR="00993112" w:rsidRPr="00993112" w:rsidRDefault="00993112" w:rsidP="00AE7751">
      <w:pPr>
        <w:spacing w:after="0" w:line="240" w:lineRule="auto"/>
        <w:ind w:left="1134" w:right="-329"/>
        <w:jc w:val="both"/>
        <w:rPr>
          <w:rFonts w:ascii="Palatino" w:eastAsia="Palatino" w:hAnsi="Palatino" w:cs="Palatino"/>
          <w:i/>
          <w:iCs/>
          <w:sz w:val="20"/>
          <w:szCs w:val="20"/>
        </w:rPr>
      </w:pPr>
      <w:r w:rsidRPr="00993112">
        <w:rPr>
          <w:rFonts w:ascii="Palatino" w:eastAsia="Palatino" w:hAnsi="Palatino" w:cs="Palatino"/>
          <w:i/>
          <w:iCs/>
          <w:sz w:val="20"/>
          <w:szCs w:val="20"/>
        </w:rPr>
        <w:t>Art. 3º São atribuições comuns dos cargos referidos nos incisos I a XVI, XIX e XX do art. 1º desta Lei: (Redação dada pela Lei nº 11.292, de 2006)</w:t>
      </w:r>
    </w:p>
    <w:p w14:paraId="5ECF5892" w14:textId="77777777" w:rsidR="00993112" w:rsidRPr="00993112" w:rsidRDefault="00993112" w:rsidP="00AE7751">
      <w:pPr>
        <w:spacing w:after="0" w:line="240" w:lineRule="auto"/>
        <w:ind w:left="1134" w:right="-329"/>
        <w:jc w:val="both"/>
        <w:rPr>
          <w:rFonts w:ascii="Palatino" w:eastAsia="Palatino" w:hAnsi="Palatino" w:cs="Palatino"/>
          <w:i/>
          <w:iCs/>
          <w:sz w:val="20"/>
          <w:szCs w:val="20"/>
        </w:rPr>
      </w:pPr>
    </w:p>
    <w:p w14:paraId="5385D2B9" w14:textId="77777777" w:rsidR="00993112" w:rsidRPr="00993112" w:rsidRDefault="00993112" w:rsidP="00AE7751">
      <w:pPr>
        <w:spacing w:after="0" w:line="240" w:lineRule="auto"/>
        <w:ind w:left="1134" w:right="-329"/>
        <w:jc w:val="both"/>
        <w:rPr>
          <w:rFonts w:ascii="Palatino" w:eastAsia="Palatino" w:hAnsi="Palatino" w:cs="Palatino"/>
          <w:i/>
          <w:iCs/>
          <w:sz w:val="20"/>
          <w:szCs w:val="20"/>
        </w:rPr>
      </w:pPr>
      <w:r w:rsidRPr="00993112">
        <w:rPr>
          <w:rFonts w:ascii="Palatino" w:eastAsia="Palatino" w:hAnsi="Palatino" w:cs="Palatino"/>
          <w:i/>
          <w:iCs/>
          <w:sz w:val="20"/>
          <w:szCs w:val="20"/>
        </w:rPr>
        <w:t>I - fiscalização do cumprimento das regras pelos agentes do mercado regulado;</w:t>
      </w:r>
    </w:p>
    <w:p w14:paraId="4FF1DC72" w14:textId="77777777" w:rsidR="00993112" w:rsidRPr="00993112" w:rsidRDefault="00993112" w:rsidP="00AE7751">
      <w:pPr>
        <w:spacing w:after="0" w:line="240" w:lineRule="auto"/>
        <w:ind w:left="1134" w:right="-329"/>
        <w:jc w:val="both"/>
        <w:rPr>
          <w:rFonts w:ascii="Palatino" w:eastAsia="Palatino" w:hAnsi="Palatino" w:cs="Palatino"/>
          <w:i/>
          <w:iCs/>
          <w:sz w:val="20"/>
          <w:szCs w:val="20"/>
        </w:rPr>
      </w:pPr>
    </w:p>
    <w:p w14:paraId="0CA2E812" w14:textId="77777777" w:rsidR="00993112" w:rsidRPr="00993112" w:rsidRDefault="00993112" w:rsidP="00AE7751">
      <w:pPr>
        <w:spacing w:after="0" w:line="240" w:lineRule="auto"/>
        <w:ind w:left="1134" w:right="-329"/>
        <w:jc w:val="both"/>
        <w:rPr>
          <w:rFonts w:ascii="Palatino" w:eastAsia="Palatino" w:hAnsi="Palatino" w:cs="Palatino"/>
          <w:i/>
          <w:iCs/>
          <w:sz w:val="20"/>
          <w:szCs w:val="20"/>
        </w:rPr>
      </w:pPr>
      <w:r w:rsidRPr="00993112">
        <w:rPr>
          <w:rFonts w:ascii="Palatino" w:eastAsia="Palatino" w:hAnsi="Palatino" w:cs="Palatino"/>
          <w:i/>
          <w:iCs/>
          <w:sz w:val="20"/>
          <w:szCs w:val="20"/>
        </w:rPr>
        <w:t>II - orientação aos agentes do mercado regulado e ao público em geral; e</w:t>
      </w:r>
    </w:p>
    <w:p w14:paraId="60ADA82B" w14:textId="77777777" w:rsidR="00993112" w:rsidRPr="00993112" w:rsidRDefault="00993112" w:rsidP="00AE7751">
      <w:pPr>
        <w:spacing w:after="0" w:line="240" w:lineRule="auto"/>
        <w:ind w:left="1134" w:right="-329"/>
        <w:jc w:val="both"/>
        <w:rPr>
          <w:rFonts w:ascii="Palatino" w:eastAsia="Palatino" w:hAnsi="Palatino" w:cs="Palatino"/>
          <w:i/>
          <w:iCs/>
          <w:sz w:val="20"/>
          <w:szCs w:val="20"/>
        </w:rPr>
      </w:pPr>
    </w:p>
    <w:p w14:paraId="48A39060" w14:textId="4732DE8B" w:rsidR="00993112" w:rsidRPr="00993112" w:rsidRDefault="00993112" w:rsidP="00AE7751">
      <w:pPr>
        <w:spacing w:after="0" w:line="240" w:lineRule="auto"/>
        <w:ind w:left="1134" w:right="-329"/>
        <w:jc w:val="both"/>
        <w:rPr>
          <w:rFonts w:ascii="Palatino" w:eastAsia="Palatino" w:hAnsi="Palatino" w:cs="Palatino"/>
          <w:i/>
          <w:iCs/>
          <w:sz w:val="20"/>
          <w:szCs w:val="20"/>
        </w:rPr>
      </w:pPr>
      <w:r w:rsidRPr="00993112">
        <w:rPr>
          <w:rFonts w:ascii="Palatino" w:eastAsia="Palatino" w:hAnsi="Palatino" w:cs="Palatino"/>
          <w:i/>
          <w:iCs/>
          <w:sz w:val="20"/>
          <w:szCs w:val="20"/>
        </w:rPr>
        <w:t>III - execução de outras atividades finalísticas inerentes ao exercício da competência das autarquias especiais denominadas Agências Reguladoras de que trata esta Lei.</w:t>
      </w:r>
    </w:p>
    <w:p w14:paraId="059051DE" w14:textId="0CA168A6" w:rsidR="00993112" w:rsidRPr="00993112" w:rsidRDefault="00993112" w:rsidP="00AE7751">
      <w:pPr>
        <w:spacing w:after="0" w:line="240" w:lineRule="auto"/>
        <w:ind w:left="1134" w:right="-329"/>
        <w:jc w:val="both"/>
        <w:rPr>
          <w:rFonts w:ascii="Palatino" w:eastAsia="Palatino" w:hAnsi="Palatino" w:cs="Palatino"/>
          <w:i/>
          <w:iCs/>
          <w:sz w:val="20"/>
          <w:szCs w:val="20"/>
        </w:rPr>
      </w:pPr>
    </w:p>
    <w:p w14:paraId="27386838" w14:textId="1FBB0C89" w:rsidR="00993112" w:rsidRPr="00993112" w:rsidRDefault="00993112" w:rsidP="00AE7751">
      <w:pPr>
        <w:spacing w:after="0" w:line="240" w:lineRule="auto"/>
        <w:ind w:left="1134" w:right="-329"/>
        <w:jc w:val="both"/>
        <w:rPr>
          <w:rFonts w:ascii="Palatino" w:eastAsia="Palatino" w:hAnsi="Palatino" w:cs="Palatino"/>
          <w:i/>
          <w:iCs/>
          <w:sz w:val="20"/>
          <w:szCs w:val="20"/>
        </w:rPr>
      </w:pPr>
      <w:r w:rsidRPr="00993112">
        <w:rPr>
          <w:rFonts w:ascii="Palatino" w:eastAsia="Palatino" w:hAnsi="Palatino" w:cs="Palatino"/>
          <w:i/>
          <w:iCs/>
          <w:sz w:val="20"/>
          <w:szCs w:val="20"/>
        </w:rPr>
        <w:t>Parágrafo único. No exercício das atribuições de natureza fiscal ou decorrentes do poder de polícia, são asseguradas aos ocupantes dos cargos referidos nos incisos I a XVI, XIX e XX do art. 1º desta Lei as prerrogativas de promover a interdição de estabelecimentos, instalações ou equipamentos, assim como a apreensão de bens ou produtos, e de requisitar, quando necessário, o auxílio de força policial federal ou estadual, em caso de desacato ou embaraço ao exercício de suas funções. (Redação dada pela Lei nº 11.292, de 2006)</w:t>
      </w:r>
    </w:p>
    <w:p w14:paraId="5A4FBE6B" w14:textId="77777777" w:rsidR="00FC3453" w:rsidRDefault="00FC3453" w:rsidP="00AE7751">
      <w:pPr>
        <w:spacing w:after="0" w:line="240" w:lineRule="auto"/>
        <w:ind w:right="-329"/>
        <w:jc w:val="both"/>
        <w:rPr>
          <w:rFonts w:ascii="Palatino" w:eastAsia="Palatino" w:hAnsi="Palatino" w:cs="Palatino"/>
        </w:rPr>
      </w:pPr>
    </w:p>
    <w:p w14:paraId="5700D5C5" w14:textId="7943995C" w:rsidR="00FC3453" w:rsidRDefault="00993112" w:rsidP="00AE7751">
      <w:pPr>
        <w:spacing w:after="0" w:line="240" w:lineRule="auto"/>
        <w:ind w:right="-329"/>
        <w:jc w:val="both"/>
        <w:rPr>
          <w:rFonts w:ascii="Palatino" w:eastAsia="Palatino" w:hAnsi="Palatino" w:cs="Palatino"/>
        </w:rPr>
      </w:pPr>
      <w:r>
        <w:rPr>
          <w:rFonts w:ascii="Palatino" w:eastAsia="Palatino" w:hAnsi="Palatino" w:cs="Palatino"/>
        </w:rPr>
        <w:t>Veja-se que há a atribuição específica de fiscalização do mercado regulado aos técnicos em regulação, tal e qual aos especialistas em regulação, embora àqueles esta seja realizada como suporte e apoio nos termos definidos na Lei. Mais que isso, aos técnicos em regulação das agências reguladoras são asseguradas as prerrogativas para promoverem a interdição de estabelecimentos, instalação e equipamentos, assim como apreender bens e produtos.</w:t>
      </w:r>
    </w:p>
    <w:p w14:paraId="315F5C61" w14:textId="3267B5C1" w:rsidR="00993112" w:rsidRDefault="00993112" w:rsidP="00AE7751">
      <w:pPr>
        <w:spacing w:after="0" w:line="240" w:lineRule="auto"/>
        <w:ind w:right="-329"/>
        <w:jc w:val="both"/>
        <w:rPr>
          <w:rFonts w:ascii="Palatino" w:eastAsia="Palatino" w:hAnsi="Palatino" w:cs="Palatino"/>
        </w:rPr>
      </w:pPr>
    </w:p>
    <w:p w14:paraId="4FB46FA6" w14:textId="598B4BCE" w:rsidR="00993112" w:rsidRDefault="00993112" w:rsidP="00AE7751">
      <w:pPr>
        <w:spacing w:after="0" w:line="240" w:lineRule="auto"/>
        <w:ind w:right="-329"/>
        <w:jc w:val="both"/>
        <w:rPr>
          <w:rFonts w:ascii="Palatino" w:eastAsia="Palatino" w:hAnsi="Palatino" w:cs="Palatino"/>
        </w:rPr>
      </w:pPr>
      <w:r>
        <w:rPr>
          <w:rFonts w:ascii="Palatino" w:eastAsia="Palatino" w:hAnsi="Palatino" w:cs="Palatino"/>
        </w:rPr>
        <w:t xml:space="preserve">O serviço específico de fiscalização </w:t>
      </w:r>
      <w:r>
        <w:rPr>
          <w:rFonts w:ascii="Palatino" w:eastAsia="Palatino" w:hAnsi="Palatino" w:cs="Palatino"/>
          <w:i/>
          <w:iCs/>
        </w:rPr>
        <w:t>in loco</w:t>
      </w:r>
      <w:r>
        <w:rPr>
          <w:rFonts w:ascii="Palatino" w:eastAsia="Palatino" w:hAnsi="Palatino" w:cs="Palatino"/>
        </w:rPr>
        <w:t xml:space="preserve">, seja em vias ou em propriedades, é realizado majoritariamente por técnicos em regulação presentes em todo o território nacional. Há casos, como o da ANTT, por exemplo, </w:t>
      </w:r>
      <w:r w:rsidR="00A85357">
        <w:rPr>
          <w:rFonts w:ascii="Palatino" w:eastAsia="Palatino" w:hAnsi="Palatino" w:cs="Palatino"/>
        </w:rPr>
        <w:t xml:space="preserve">que mais de 90% (noventa por cento) de toda atividade fiscalizatória </w:t>
      </w:r>
      <w:r w:rsidR="00A85357">
        <w:rPr>
          <w:rFonts w:ascii="Palatino" w:eastAsia="Palatino" w:hAnsi="Palatino" w:cs="Palatino"/>
          <w:i/>
          <w:iCs/>
        </w:rPr>
        <w:t>in loco</w:t>
      </w:r>
      <w:r w:rsidR="00A85357">
        <w:rPr>
          <w:rFonts w:ascii="Palatino" w:eastAsia="Palatino" w:hAnsi="Palatino" w:cs="Palatino"/>
        </w:rPr>
        <w:t xml:space="preserve"> é realizada por técnicos em regulação. Retirar dos técnicos em regulação o reconhecimento de que sua atividade é típica de Estado será paralisar a maioria e em muitas agências talvez até a quase totalidade das ações fiscalizatórias, o que representará um prejuízo para o “custo-Brasil” e, claramente, causará impactos que, em vez de modernizar o serviço público como se pretende, causará mais transtornos que soluções.</w:t>
      </w:r>
    </w:p>
    <w:p w14:paraId="4FE80BD4" w14:textId="141AB6BC" w:rsidR="00A85357" w:rsidRDefault="00A85357" w:rsidP="00AE7751">
      <w:pPr>
        <w:spacing w:after="0" w:line="240" w:lineRule="auto"/>
        <w:ind w:right="-329"/>
        <w:jc w:val="both"/>
        <w:rPr>
          <w:rFonts w:ascii="Palatino" w:eastAsia="Palatino" w:hAnsi="Palatino" w:cs="Palatino"/>
        </w:rPr>
      </w:pPr>
    </w:p>
    <w:p w14:paraId="5FE1014B" w14:textId="0174D509" w:rsidR="00A85357" w:rsidRDefault="00A85357" w:rsidP="0087572C">
      <w:pPr>
        <w:keepNext w:val="0"/>
        <w:spacing w:after="0" w:line="240" w:lineRule="auto"/>
        <w:ind w:right="-329"/>
        <w:jc w:val="both"/>
        <w:rPr>
          <w:rFonts w:ascii="Palatino" w:eastAsia="Palatino" w:hAnsi="Palatino" w:cs="Palatino"/>
        </w:rPr>
      </w:pPr>
      <w:r>
        <w:rPr>
          <w:rFonts w:ascii="Palatino" w:eastAsia="Palatino" w:hAnsi="Palatino" w:cs="Palatino"/>
        </w:rPr>
        <w:t xml:space="preserve">No sentido exposto e diante do perigo que reputamos haver para a retomada de redação que prejudica não só o espírito da renovação constitucional que se pretende, mas a própria sociedade </w:t>
      </w:r>
      <w:r>
        <w:rPr>
          <w:rFonts w:ascii="Palatino" w:eastAsia="Palatino" w:hAnsi="Palatino" w:cs="Palatino"/>
        </w:rPr>
        <w:lastRenderedPageBreak/>
        <w:t>como um todo, rogamos a Vossa Excelência seus mais lídimos esforços para se evitar que a redação prevista para o inciso IX-C, do artigo 37, da CF, contido no substitutivo do Relator à PEC 32/2020, apresentado em 15/09/2021, não seja retomado em hipótese alguma, sob a pena de causar prejuízo às carreiras por ela atingidas, às agências reguladoras e à sociedade como um todo.</w:t>
      </w:r>
    </w:p>
    <w:p w14:paraId="7A1D5BE9" w14:textId="535BE8D7" w:rsidR="00A85357" w:rsidRDefault="00A85357" w:rsidP="00AE7751">
      <w:pPr>
        <w:spacing w:after="0" w:line="240" w:lineRule="auto"/>
        <w:ind w:right="-329"/>
        <w:jc w:val="both"/>
        <w:rPr>
          <w:rFonts w:ascii="Palatino" w:eastAsia="Palatino" w:hAnsi="Palatino" w:cs="Palatino"/>
        </w:rPr>
      </w:pPr>
    </w:p>
    <w:p w14:paraId="0F446E4D" w14:textId="77777777" w:rsidR="00A85357" w:rsidRDefault="00A85357" w:rsidP="00AE7751">
      <w:pPr>
        <w:spacing w:after="0" w:line="240" w:lineRule="auto"/>
        <w:ind w:right="-329"/>
        <w:jc w:val="both"/>
        <w:rPr>
          <w:rFonts w:ascii="Palatino" w:eastAsia="Palatino" w:hAnsi="Palatino" w:cs="Palatino"/>
        </w:rPr>
      </w:pPr>
      <w:r>
        <w:rPr>
          <w:rFonts w:ascii="Palatino" w:eastAsia="Palatino" w:hAnsi="Palatino" w:cs="Palatino"/>
        </w:rPr>
        <w:t>Alternativamente, não sendo tal anseio atendido, o que se vislumbra somente a título de hipótese, roga-se que Vossa Excelência se digne a convencer o eminente Relator a inserir dispositivo semelhante ao previsto no inciso IX-B, do art. 37, do substitutivo nº 32/2020, para que seja incluído texto semelhante ao que ora segue:</w:t>
      </w:r>
    </w:p>
    <w:p w14:paraId="4E58E669" w14:textId="23EF4A8D" w:rsidR="00AE7751" w:rsidRPr="00AE7751" w:rsidRDefault="00A85357" w:rsidP="00AE7751">
      <w:pPr>
        <w:spacing w:after="0" w:line="240" w:lineRule="auto"/>
        <w:ind w:left="1134" w:right="-329"/>
        <w:jc w:val="both"/>
        <w:rPr>
          <w:rFonts w:ascii="Palatino" w:eastAsia="Palatino" w:hAnsi="Palatino" w:cs="Palatino"/>
          <w:i/>
          <w:iCs/>
          <w:sz w:val="20"/>
          <w:szCs w:val="20"/>
        </w:rPr>
      </w:pPr>
      <w:r>
        <w:rPr>
          <w:rFonts w:ascii="Palatino" w:eastAsia="Palatino" w:hAnsi="Palatino" w:cs="Palatino"/>
        </w:rPr>
        <w:br/>
      </w:r>
      <w:r w:rsidR="00AE7751">
        <w:rPr>
          <w:rFonts w:ascii="Palatino" w:eastAsia="Palatino" w:hAnsi="Palatino" w:cs="Palatino"/>
          <w:i/>
          <w:iCs/>
          <w:sz w:val="20"/>
          <w:szCs w:val="20"/>
        </w:rPr>
        <w:t>inciso [??]</w:t>
      </w:r>
      <w:r w:rsidRPr="00AE7751">
        <w:rPr>
          <w:rFonts w:ascii="Palatino" w:eastAsia="Palatino" w:hAnsi="Palatino" w:cs="Palatino"/>
          <w:i/>
          <w:iCs/>
          <w:sz w:val="20"/>
          <w:szCs w:val="20"/>
        </w:rPr>
        <w:t xml:space="preserve"> - para os fins do inciso IX-A, serão considerados como </w:t>
      </w:r>
      <w:r w:rsidR="00AE7751">
        <w:rPr>
          <w:rFonts w:ascii="Palatino" w:eastAsia="Palatino" w:hAnsi="Palatino" w:cs="Palatino"/>
          <w:i/>
          <w:iCs/>
          <w:sz w:val="20"/>
          <w:szCs w:val="20"/>
        </w:rPr>
        <w:t>atividades finalísticas afetas à regulação e à fiscalização todos os cargos de carreira das Agências Reguladoras.</w:t>
      </w:r>
    </w:p>
    <w:p w14:paraId="08005467" w14:textId="22409794" w:rsidR="00A85357" w:rsidRPr="00AE7751" w:rsidRDefault="00A85357" w:rsidP="00AE7751">
      <w:pPr>
        <w:spacing w:after="0" w:line="240" w:lineRule="auto"/>
        <w:ind w:right="-329"/>
        <w:jc w:val="both"/>
        <w:rPr>
          <w:rFonts w:ascii="Palatino" w:eastAsia="Palatino" w:hAnsi="Palatino" w:cs="Palatino"/>
          <w:i/>
          <w:iCs/>
          <w:sz w:val="20"/>
          <w:szCs w:val="20"/>
        </w:rPr>
      </w:pPr>
    </w:p>
    <w:p w14:paraId="413368C1" w14:textId="77777777" w:rsidR="00993112" w:rsidRDefault="00993112" w:rsidP="00AE7751">
      <w:pPr>
        <w:spacing w:after="0" w:line="240" w:lineRule="auto"/>
        <w:ind w:right="-329"/>
        <w:jc w:val="both"/>
        <w:rPr>
          <w:rFonts w:ascii="Palatino" w:eastAsia="Palatino" w:hAnsi="Palatino" w:cs="Palatino"/>
        </w:rPr>
      </w:pPr>
    </w:p>
    <w:p w14:paraId="751FBAC9" w14:textId="6A8E4ED9" w:rsidR="00D83DE9" w:rsidRDefault="00E03D12" w:rsidP="00AE7751">
      <w:pPr>
        <w:spacing w:after="0" w:line="240" w:lineRule="auto"/>
        <w:ind w:right="-329"/>
        <w:jc w:val="both"/>
        <w:rPr>
          <w:rFonts w:ascii="Palatino" w:eastAsia="Palatino" w:hAnsi="Palatino" w:cs="Palatino"/>
        </w:rPr>
      </w:pPr>
      <w:r>
        <w:rPr>
          <w:rFonts w:ascii="Palatino" w:eastAsia="Palatino" w:hAnsi="Palatino" w:cs="Palatino"/>
        </w:rPr>
        <w:t>Assim, certo da compreensão</w:t>
      </w:r>
      <w:r w:rsidR="00EB5F71">
        <w:rPr>
          <w:rFonts w:ascii="Palatino" w:eastAsia="Palatino" w:hAnsi="Palatino" w:cs="Palatino"/>
        </w:rPr>
        <w:t xml:space="preserve"> de Vossa Excelência quanto</w:t>
      </w:r>
      <w:r>
        <w:rPr>
          <w:rFonts w:ascii="Palatino" w:eastAsia="Palatino" w:hAnsi="Palatino" w:cs="Palatino"/>
        </w:rPr>
        <w:t xml:space="preserve"> </w:t>
      </w:r>
      <w:r w:rsidR="00EB5F71">
        <w:rPr>
          <w:rFonts w:ascii="Palatino" w:eastAsia="Palatino" w:hAnsi="Palatino" w:cs="Palatino"/>
        </w:rPr>
        <w:t>à</w:t>
      </w:r>
      <w:r>
        <w:rPr>
          <w:rFonts w:ascii="Palatino" w:eastAsia="Palatino" w:hAnsi="Palatino" w:cs="Palatino"/>
        </w:rPr>
        <w:t xml:space="preserve"> importância das Agências Reguladoras </w:t>
      </w:r>
      <w:r w:rsidR="00AE7751">
        <w:rPr>
          <w:rFonts w:ascii="Palatino" w:eastAsia="Palatino" w:hAnsi="Palatino" w:cs="Palatino"/>
        </w:rPr>
        <w:t xml:space="preserve">e de seu quadro de servidores </w:t>
      </w:r>
      <w:r>
        <w:rPr>
          <w:rFonts w:ascii="Palatino" w:eastAsia="Palatino" w:hAnsi="Palatino" w:cs="Palatino"/>
        </w:rPr>
        <w:t xml:space="preserve">para </w:t>
      </w:r>
      <w:r w:rsidR="00AE7751">
        <w:rPr>
          <w:rFonts w:ascii="Palatino" w:eastAsia="Palatino" w:hAnsi="Palatino" w:cs="Palatino"/>
        </w:rPr>
        <w:t>o</w:t>
      </w:r>
      <w:r>
        <w:rPr>
          <w:rFonts w:ascii="Palatino" w:eastAsia="Palatino" w:hAnsi="Palatino" w:cs="Palatino"/>
        </w:rPr>
        <w:t xml:space="preserve"> crescimento econômico do Brasil</w:t>
      </w:r>
      <w:r w:rsidR="00AE7751">
        <w:rPr>
          <w:rFonts w:ascii="Palatino" w:eastAsia="Palatino" w:hAnsi="Palatino" w:cs="Palatino"/>
        </w:rPr>
        <w:t xml:space="preserve"> e para a consolidação de um Estado forte</w:t>
      </w:r>
      <w:r>
        <w:rPr>
          <w:rFonts w:ascii="Palatino" w:eastAsia="Palatino" w:hAnsi="Palatino" w:cs="Palatino"/>
        </w:rPr>
        <w:t>, cont</w:t>
      </w:r>
      <w:r w:rsidR="00AE7751">
        <w:rPr>
          <w:rFonts w:ascii="Palatino" w:eastAsia="Palatino" w:hAnsi="Palatino" w:cs="Palatino"/>
        </w:rPr>
        <w:t>amos</w:t>
      </w:r>
      <w:r>
        <w:rPr>
          <w:rFonts w:ascii="Palatino" w:eastAsia="Palatino" w:hAnsi="Palatino" w:cs="Palatino"/>
        </w:rPr>
        <w:t xml:space="preserve"> com </w:t>
      </w:r>
      <w:r w:rsidR="00AE7751">
        <w:rPr>
          <w:rFonts w:ascii="Palatino" w:eastAsia="Palatino" w:hAnsi="Palatino" w:cs="Palatino"/>
        </w:rPr>
        <w:t xml:space="preserve">vosso </w:t>
      </w:r>
      <w:r>
        <w:rPr>
          <w:rFonts w:ascii="Palatino" w:eastAsia="Palatino" w:hAnsi="Palatino" w:cs="Palatino"/>
        </w:rPr>
        <w:t>apoio</w:t>
      </w:r>
      <w:r w:rsidR="00AE7751">
        <w:rPr>
          <w:rFonts w:ascii="Palatino" w:eastAsia="Palatino" w:hAnsi="Palatino" w:cs="Palatino"/>
        </w:rPr>
        <w:t xml:space="preserve"> e compreensão.</w:t>
      </w:r>
    </w:p>
    <w:p w14:paraId="5D4DA29C" w14:textId="77777777" w:rsidR="00D83DE9" w:rsidRDefault="00D83DE9" w:rsidP="00AE7751">
      <w:pPr>
        <w:spacing w:after="0" w:line="240" w:lineRule="auto"/>
        <w:ind w:right="-329"/>
        <w:jc w:val="both"/>
        <w:rPr>
          <w:rFonts w:ascii="Palatino" w:eastAsia="Palatino" w:hAnsi="Palatino" w:cs="Palatino"/>
        </w:rPr>
      </w:pPr>
    </w:p>
    <w:p w14:paraId="0664229A" w14:textId="77777777" w:rsidR="00D83DE9" w:rsidRDefault="00E03D12" w:rsidP="00AE7751">
      <w:pPr>
        <w:spacing w:after="0" w:line="240" w:lineRule="auto"/>
        <w:ind w:right="-329"/>
        <w:jc w:val="both"/>
        <w:rPr>
          <w:rFonts w:ascii="Palatino" w:eastAsia="Palatino" w:hAnsi="Palatino" w:cs="Palatino"/>
        </w:rPr>
      </w:pPr>
      <w:r>
        <w:rPr>
          <w:rFonts w:ascii="Palatino" w:eastAsia="Palatino" w:hAnsi="Palatino" w:cs="Palatino"/>
        </w:rPr>
        <w:t>Sem mais para o momento, despedimo-nos.</w:t>
      </w:r>
    </w:p>
    <w:p w14:paraId="4A901EF3" w14:textId="77777777" w:rsidR="00D83DE9" w:rsidRDefault="00D83DE9" w:rsidP="00AE7751">
      <w:pPr>
        <w:spacing w:after="0" w:line="240" w:lineRule="auto"/>
        <w:ind w:right="-329"/>
        <w:jc w:val="both"/>
        <w:rPr>
          <w:rFonts w:ascii="Palatino" w:eastAsia="Palatino" w:hAnsi="Palatino" w:cs="Palatino"/>
        </w:rPr>
      </w:pPr>
    </w:p>
    <w:p w14:paraId="1E2BE048" w14:textId="6085871B" w:rsidR="00D83DE9" w:rsidRDefault="00E03D12" w:rsidP="00AE7751">
      <w:pPr>
        <w:spacing w:after="0" w:line="240" w:lineRule="auto"/>
        <w:ind w:right="-329"/>
        <w:jc w:val="both"/>
        <w:rPr>
          <w:rFonts w:ascii="Palatino" w:eastAsia="Palatino" w:hAnsi="Palatino" w:cs="Palatino"/>
        </w:rPr>
      </w:pPr>
      <w:r>
        <w:rPr>
          <w:rFonts w:ascii="Palatino" w:eastAsia="Palatino" w:hAnsi="Palatino" w:cs="Palatino"/>
        </w:rPr>
        <w:t>Respeitosamente,</w:t>
      </w:r>
    </w:p>
    <w:p w14:paraId="1447EC05" w14:textId="71757B22" w:rsidR="00D83DE9" w:rsidRDefault="00D83DE9">
      <w:pPr>
        <w:spacing w:after="0" w:line="240" w:lineRule="auto"/>
        <w:ind w:left="-450" w:right="-329"/>
        <w:jc w:val="center"/>
        <w:rPr>
          <w:rFonts w:ascii="Palatino" w:eastAsia="Palatino" w:hAnsi="Palatino" w:cs="Palatino"/>
        </w:rPr>
      </w:pPr>
    </w:p>
    <w:p w14:paraId="4301BB7E" w14:textId="3482993B" w:rsidR="008278B6" w:rsidRDefault="008278B6">
      <w:pPr>
        <w:spacing w:after="0" w:line="240" w:lineRule="auto"/>
        <w:ind w:left="-450" w:right="-329"/>
        <w:jc w:val="center"/>
        <w:rPr>
          <w:rFonts w:ascii="Palatino" w:eastAsia="Palatino" w:hAnsi="Palatino" w:cs="Palatino"/>
        </w:rPr>
      </w:pPr>
    </w:p>
    <w:p w14:paraId="26A89223" w14:textId="3B284E60" w:rsidR="008278B6" w:rsidRDefault="008278B6">
      <w:pPr>
        <w:spacing w:after="0" w:line="240" w:lineRule="auto"/>
        <w:ind w:left="-450" w:right="-329"/>
        <w:jc w:val="center"/>
        <w:rPr>
          <w:rFonts w:ascii="Palatino" w:eastAsia="Palatino" w:hAnsi="Palatino" w:cs="Palatino"/>
        </w:rPr>
      </w:pPr>
      <w:r>
        <w:rPr>
          <w:rFonts w:ascii="Arial" w:hAnsi="Arial" w:cs="Arial"/>
          <w:noProof/>
          <w:bdr w:val="none" w:sz="0" w:space="0" w:color="auto" w:frame="1"/>
        </w:rPr>
        <w:drawing>
          <wp:inline distT="0" distB="0" distL="0" distR="0" wp14:anchorId="6D4DAC44" wp14:editId="01A3A704">
            <wp:extent cx="1266825" cy="742950"/>
            <wp:effectExtent l="0" t="0" r="9525" b="0"/>
            <wp:docPr id="5" name="Imagem 5" descr="Desenho preto e branc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Desenho preto e branco&#10;&#10;Descrição gerada automaticamente com confiança baix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742950"/>
                    </a:xfrm>
                    <a:prstGeom prst="rect">
                      <a:avLst/>
                    </a:prstGeom>
                    <a:noFill/>
                    <a:ln>
                      <a:noFill/>
                    </a:ln>
                  </pic:spPr>
                </pic:pic>
              </a:graphicData>
            </a:graphic>
          </wp:inline>
        </w:drawing>
      </w:r>
    </w:p>
    <w:p w14:paraId="56E05304" w14:textId="138E5F83" w:rsidR="008278B6" w:rsidRDefault="008278B6">
      <w:pPr>
        <w:spacing w:after="0" w:line="240" w:lineRule="auto"/>
        <w:ind w:left="-450" w:right="-329"/>
        <w:jc w:val="center"/>
        <w:rPr>
          <w:rFonts w:ascii="Palatino" w:eastAsia="Palatino" w:hAnsi="Palatino" w:cs="Palatino"/>
        </w:rPr>
      </w:pPr>
      <w:r>
        <w:rPr>
          <w:rFonts w:ascii="Palatino" w:eastAsia="Palatino" w:hAnsi="Palatino" w:cs="Palatino"/>
        </w:rPr>
        <w:t>ELSON JOSÉ DA SILVA</w:t>
      </w:r>
    </w:p>
    <w:p w14:paraId="57F2D6DE" w14:textId="44101778" w:rsidR="008278B6" w:rsidRDefault="008278B6">
      <w:pPr>
        <w:spacing w:after="0" w:line="240" w:lineRule="auto"/>
        <w:ind w:left="-450" w:right="-329"/>
        <w:jc w:val="center"/>
        <w:rPr>
          <w:rFonts w:ascii="Palatino" w:eastAsia="Palatino" w:hAnsi="Palatino" w:cs="Palatino"/>
        </w:rPr>
      </w:pPr>
      <w:r>
        <w:rPr>
          <w:rFonts w:ascii="Palatino" w:eastAsia="Palatino" w:hAnsi="Palatino" w:cs="Palatino"/>
        </w:rPr>
        <w:t>Presidente da UnaReg</w:t>
      </w:r>
    </w:p>
    <w:p w14:paraId="263648B2" w14:textId="77777777" w:rsidR="00D83DE9" w:rsidRDefault="00D83DE9">
      <w:pPr>
        <w:spacing w:after="0" w:line="240" w:lineRule="auto"/>
        <w:ind w:left="-450" w:right="-329"/>
        <w:jc w:val="center"/>
      </w:pPr>
    </w:p>
    <w:sectPr w:rsidR="00D83DE9" w:rsidSect="008278B6">
      <w:headerReference w:type="default" r:id="rId8"/>
      <w:footerReference w:type="default" r:id="rId9"/>
      <w:pgSz w:w="11906" w:h="16838" w:code="9"/>
      <w:pgMar w:top="1843" w:right="1440" w:bottom="141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C660" w14:textId="77777777" w:rsidR="006F3253" w:rsidRDefault="006F3253">
      <w:pPr>
        <w:spacing w:after="0" w:line="240" w:lineRule="auto"/>
      </w:pPr>
      <w:r>
        <w:separator/>
      </w:r>
    </w:p>
  </w:endnote>
  <w:endnote w:type="continuationSeparator" w:id="0">
    <w:p w14:paraId="72D86649" w14:textId="77777777" w:rsidR="006F3253" w:rsidRDefault="006F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iberation Sans">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17B3" w14:textId="0F6885BC" w:rsidR="00D83DE9" w:rsidRDefault="008278B6" w:rsidP="008278B6">
    <w:pPr>
      <w:pStyle w:val="Rodap"/>
      <w:rPr>
        <w:sz w:val="12"/>
        <w:szCs w:val="12"/>
      </w:rPr>
    </w:pPr>
    <w:r>
      <w:rPr>
        <w:rFonts w:ascii="Arial" w:hAnsi="Arial" w:cs="Arial"/>
        <w:noProof/>
        <w:bdr w:val="none" w:sz="0" w:space="0" w:color="auto" w:frame="1"/>
      </w:rPr>
      <w:drawing>
        <wp:inline distT="0" distB="0" distL="0" distR="0" wp14:anchorId="2DF8189A" wp14:editId="239DB061">
          <wp:extent cx="3314700" cy="933450"/>
          <wp:effectExtent l="0" t="0" r="0" b="0"/>
          <wp:docPr id="4" name="Imagem 4"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Forma&#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9334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F011F" w14:textId="77777777" w:rsidR="006F3253" w:rsidRDefault="006F3253">
      <w:pPr>
        <w:spacing w:after="0" w:line="240" w:lineRule="auto"/>
      </w:pPr>
      <w:r>
        <w:separator/>
      </w:r>
    </w:p>
  </w:footnote>
  <w:footnote w:type="continuationSeparator" w:id="0">
    <w:p w14:paraId="7A53DA10" w14:textId="77777777" w:rsidR="006F3253" w:rsidRDefault="006F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3BA7" w14:textId="3632D715" w:rsidR="00D83DE9" w:rsidRDefault="008278B6" w:rsidP="008278B6">
    <w:pPr>
      <w:pStyle w:val="Cabealho"/>
    </w:pPr>
    <w:r>
      <w:rPr>
        <w:rFonts w:ascii="Arial" w:hAnsi="Arial" w:cs="Arial"/>
        <w:noProof/>
        <w:bdr w:val="none" w:sz="0" w:space="0" w:color="auto" w:frame="1"/>
      </w:rPr>
      <w:drawing>
        <wp:inline distT="0" distB="0" distL="0" distR="0" wp14:anchorId="0FBD618A" wp14:editId="42A396BE">
          <wp:extent cx="2457450" cy="781050"/>
          <wp:effectExtent l="0" t="0" r="0" b="0"/>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E9"/>
    <w:rsid w:val="006F3253"/>
    <w:rsid w:val="008278B6"/>
    <w:rsid w:val="0087572C"/>
    <w:rsid w:val="00993112"/>
    <w:rsid w:val="009B49E3"/>
    <w:rsid w:val="00A85357"/>
    <w:rsid w:val="00AE7751"/>
    <w:rsid w:val="00D83DE9"/>
    <w:rsid w:val="00E03D12"/>
    <w:rsid w:val="00EB5F71"/>
    <w:rsid w:val="00FC34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3C45"/>
  <w15:docId w15:val="{03C0A518-39BE-421D-A4D0-1DE0888A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pt-BR" w:eastAsia="pt-BR" w:bidi="ar-SA"/>
      </w:rPr>
    </w:rPrDefault>
    <w:pPrDefault>
      <w:pPr>
        <w:keepNext/>
        <w:pBdr>
          <w:top w:val="nil"/>
          <w:left w:val="nil"/>
          <w:bottom w:val="nil"/>
          <w:right w:val="nil"/>
          <w:between w:val="nil"/>
        </w:pBd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240" w:after="120"/>
      <w:ind w:left="432" w:hanging="432"/>
      <w:outlineLvl w:val="0"/>
    </w:pPr>
    <w:rPr>
      <w:rFonts w:ascii="Liberation Sans" w:eastAsia="Liberation Sans" w:hAnsi="Liberation Sans" w:cs="Liberation Sans"/>
      <w:b/>
      <w:sz w:val="36"/>
      <w:szCs w:val="36"/>
    </w:rPr>
  </w:style>
  <w:style w:type="paragraph" w:styleId="Ttulo2">
    <w:name w:val="heading 2"/>
    <w:basedOn w:val="Normal"/>
    <w:next w:val="Normal"/>
    <w:uiPriority w:val="9"/>
    <w:semiHidden/>
    <w:unhideWhenUsed/>
    <w:qFormat/>
    <w:pPr>
      <w:spacing w:before="200" w:after="120"/>
      <w:ind w:left="576" w:hanging="576"/>
      <w:outlineLvl w:val="1"/>
    </w:pPr>
    <w:rPr>
      <w:rFonts w:ascii="Liberation Sans" w:eastAsia="Liberation Sans" w:hAnsi="Liberation Sans" w:cs="Liberation Sans"/>
      <w:b/>
      <w:sz w:val="32"/>
      <w:szCs w:val="32"/>
    </w:rPr>
  </w:style>
  <w:style w:type="paragraph" w:styleId="Ttulo3">
    <w:name w:val="heading 3"/>
    <w:basedOn w:val="Normal"/>
    <w:next w:val="Normal"/>
    <w:uiPriority w:val="9"/>
    <w:semiHidden/>
    <w:unhideWhenUsed/>
    <w:qFormat/>
    <w:pPr>
      <w:spacing w:before="140" w:after="120"/>
      <w:ind w:left="720" w:hanging="720"/>
      <w:outlineLvl w:val="2"/>
    </w:pPr>
    <w:rPr>
      <w:rFonts w:ascii="Liberation Sans" w:eastAsia="Liberation Sans" w:hAnsi="Liberation Sans" w:cs="Liberation Sans"/>
      <w:b/>
      <w:sz w:val="28"/>
      <w:szCs w:val="28"/>
    </w:rPr>
  </w:style>
  <w:style w:type="paragraph" w:styleId="Ttulo4">
    <w:name w:val="heading 4"/>
    <w:basedOn w:val="Normal"/>
    <w:next w:val="Normal"/>
    <w:uiPriority w:val="9"/>
    <w:semiHidden/>
    <w:unhideWhenUsed/>
    <w:qFormat/>
    <w:pPr>
      <w:keepLines/>
      <w:spacing w:before="240" w:after="40"/>
      <w:contextualSpacing/>
      <w:outlineLvl w:val="3"/>
    </w:pPr>
    <w:rPr>
      <w:b/>
      <w:sz w:val="24"/>
      <w:szCs w:val="24"/>
    </w:rPr>
  </w:style>
  <w:style w:type="paragraph" w:styleId="Ttulo5">
    <w:name w:val="heading 5"/>
    <w:basedOn w:val="Normal"/>
    <w:next w:val="Normal"/>
    <w:uiPriority w:val="9"/>
    <w:semiHidden/>
    <w:unhideWhenUsed/>
    <w:qFormat/>
    <w:pPr>
      <w:keepLines/>
      <w:spacing w:before="220" w:after="40"/>
      <w:contextualSpacing/>
      <w:outlineLvl w:val="4"/>
    </w:pPr>
    <w:rPr>
      <w:b/>
    </w:rPr>
  </w:style>
  <w:style w:type="paragraph" w:styleId="Ttulo6">
    <w:name w:val="heading 6"/>
    <w:basedOn w:val="Normal"/>
    <w:next w:val="Normal"/>
    <w:uiPriority w:val="9"/>
    <w:semiHidden/>
    <w:unhideWhenUsed/>
    <w:qFormat/>
    <w:pPr>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240" w:after="120"/>
      <w:jc w:val="center"/>
    </w:pPr>
    <w:rPr>
      <w:rFonts w:ascii="Liberation Sans" w:eastAsia="Liberation Sans" w:hAnsi="Liberation Sans" w:cs="Liberation Sans"/>
      <w:b/>
      <w:sz w:val="56"/>
      <w:szCs w:val="56"/>
    </w:rPr>
  </w:style>
  <w:style w:type="paragraph" w:styleId="Subttulo">
    <w:name w:val="Subtitle"/>
    <w:basedOn w:val="Normal"/>
    <w:next w:val="Normal"/>
    <w:uiPriority w:val="11"/>
    <w:qFormat/>
    <w:pPr>
      <w:spacing w:before="60" w:after="120"/>
      <w:jc w:val="center"/>
    </w:pPr>
    <w:rPr>
      <w:rFonts w:ascii="Liberation Sans" w:eastAsia="Liberation Sans" w:hAnsi="Liberation Sans" w:cs="Liberation Sans"/>
      <w:sz w:val="36"/>
      <w:szCs w:val="36"/>
    </w:rPr>
  </w:style>
  <w:style w:type="character" w:styleId="Hyperlink">
    <w:name w:val="Hyperlink"/>
    <w:basedOn w:val="Fontepargpadro"/>
    <w:uiPriority w:val="99"/>
    <w:unhideWhenUsed/>
    <w:rsid w:val="00FC3453"/>
    <w:rPr>
      <w:color w:val="0563C1" w:themeColor="hyperlink"/>
      <w:u w:val="single"/>
    </w:rPr>
  </w:style>
  <w:style w:type="character" w:styleId="MenoPendente">
    <w:name w:val="Unresolved Mention"/>
    <w:basedOn w:val="Fontepargpadro"/>
    <w:uiPriority w:val="99"/>
    <w:semiHidden/>
    <w:unhideWhenUsed/>
    <w:rsid w:val="00FC3453"/>
    <w:rPr>
      <w:color w:val="605E5C"/>
      <w:shd w:val="clear" w:color="auto" w:fill="E1DFDD"/>
    </w:rPr>
  </w:style>
  <w:style w:type="paragraph" w:styleId="Cabealho">
    <w:name w:val="header"/>
    <w:basedOn w:val="Normal"/>
    <w:link w:val="CabealhoChar"/>
    <w:uiPriority w:val="99"/>
    <w:unhideWhenUsed/>
    <w:rsid w:val="008278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8B6"/>
  </w:style>
  <w:style w:type="paragraph" w:styleId="Rodap">
    <w:name w:val="footer"/>
    <w:basedOn w:val="Normal"/>
    <w:link w:val="RodapChar"/>
    <w:uiPriority w:val="99"/>
    <w:unhideWhenUsed/>
    <w:rsid w:val="008278B6"/>
    <w:pPr>
      <w:tabs>
        <w:tab w:val="center" w:pos="4252"/>
        <w:tab w:val="right" w:pos="8504"/>
      </w:tabs>
      <w:spacing w:after="0" w:line="240" w:lineRule="auto"/>
    </w:pPr>
  </w:style>
  <w:style w:type="character" w:customStyle="1" w:styleId="RodapChar">
    <w:name w:val="Rodapé Char"/>
    <w:basedOn w:val="Fontepargpadro"/>
    <w:link w:val="Rodap"/>
    <w:uiPriority w:val="99"/>
    <w:rsid w:val="00827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mara.leg.br/propostas-legislativas/226208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1090</Words>
  <Characters>5892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Elson José da Silva</cp:lastModifiedBy>
  <cp:revision>5</cp:revision>
  <dcterms:created xsi:type="dcterms:W3CDTF">2021-09-20T19:10:00Z</dcterms:created>
  <dcterms:modified xsi:type="dcterms:W3CDTF">2021-09-20T22:21:00Z</dcterms:modified>
</cp:coreProperties>
</file>